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1C" w:rsidRPr="00DC141C" w:rsidRDefault="00DC141C" w:rsidP="00DC141C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9.    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Порядок пересмотра и внесения изменений в антикоррупционную политику организации</w:t>
      </w:r>
    </w:p>
    <w:p w:rsidR="00DC141C" w:rsidRPr="00DC141C" w:rsidRDefault="00DC141C" w:rsidP="00DC141C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1.     Цели и задачи  внедрения антикоррупционной политики в школе</w:t>
      </w:r>
    </w:p>
    <w:p w:rsidR="00DC141C" w:rsidRPr="00DC141C" w:rsidRDefault="00DC141C" w:rsidP="00DC141C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         </w:t>
      </w:r>
    </w:p>
    <w:p w:rsidR="00DC141C" w:rsidRPr="00DC141C" w:rsidRDefault="00DC141C" w:rsidP="00DC141C">
      <w:pPr>
        <w:spacing w:after="0" w:line="240" w:lineRule="auto"/>
        <w:ind w:left="-540"/>
        <w:jc w:val="both"/>
        <w:rPr>
          <w:rFonts w:ascii="Calibri" w:eastAsia="Calibri" w:hAnsi="Calibri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  Антикоррупционная поли</w:t>
      </w:r>
      <w:r w:rsidRPr="00DC141C">
        <w:rPr>
          <w:rFonts w:ascii="Times New Roman" w:eastAsia="Calibri" w:hAnsi="Times New Roman" w:cs="Times New Roman"/>
          <w:b/>
          <w:bCs/>
          <w:sz w:val="24"/>
          <w:szCs w:val="24"/>
        </w:rPr>
        <w:t>тика  </w:t>
      </w: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муниципального казенного дошкольного образовательного учреждения «Детский сад с. Миглакасимахи» Сергокалинского района РД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41C">
        <w:rPr>
          <w:rFonts w:ascii="Calibri" w:eastAsia="Calibri" w:hAnsi="Calibri" w:cs="Times New Roman"/>
          <w:sz w:val="24"/>
          <w:szCs w:val="24"/>
        </w:rPr>
        <w:t> </w:t>
      </w:r>
    </w:p>
    <w:p w:rsidR="00DC141C" w:rsidRPr="00DC141C" w:rsidRDefault="00DC141C" w:rsidP="00DC141C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(далее - МКДОУ)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DC141C" w:rsidRPr="00DC141C" w:rsidRDefault="00DC141C" w:rsidP="00DC1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антикоррупционную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DC141C" w:rsidRPr="00DC141C" w:rsidRDefault="00DC141C" w:rsidP="00DC141C">
      <w:pPr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DC141C" w:rsidRPr="00DC141C" w:rsidRDefault="00DC141C" w:rsidP="00DC141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DC141C" w:rsidRPr="00DC141C" w:rsidRDefault="00DC141C" w:rsidP="00DC141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DC141C" w:rsidRPr="00DC141C" w:rsidRDefault="00DC141C" w:rsidP="00DC141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DC141C" w:rsidRPr="00DC141C" w:rsidRDefault="00DC141C" w:rsidP="00DC141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DC141C" w:rsidRPr="00DC141C" w:rsidRDefault="00DC141C" w:rsidP="00DC141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DC141C" w:rsidRPr="00DC141C" w:rsidRDefault="00DC141C" w:rsidP="00DC141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DC141C" w:rsidRPr="00DC141C" w:rsidRDefault="00DC141C" w:rsidP="00DC141C">
      <w:pPr>
        <w:spacing w:before="100" w:beforeAutospacing="1" w:after="100" w:afterAutospacing="1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           Антикоррупционная политика школы направлена на реализацию данных мер.</w:t>
      </w:r>
    </w:p>
    <w:p w:rsidR="00DC141C" w:rsidRPr="00DC141C" w:rsidRDefault="00DC141C" w:rsidP="00DC141C">
      <w:pPr>
        <w:spacing w:before="100" w:beforeAutospacing="1" w:after="100" w:afterAutospacing="1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      2.     Используемые в политике понятия и определения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14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Коррупция</w:t>
      </w: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. Коррупцией также является совершение перечисленных </w:t>
      </w:r>
      <w:r w:rsidRPr="00DC141C">
        <w:rPr>
          <w:rFonts w:ascii="Times New Roman" w:eastAsia="Calibri" w:hAnsi="Times New Roman" w:cs="Times New Roman"/>
          <w:sz w:val="24"/>
          <w:szCs w:val="24"/>
        </w:rPr>
        <w:lastRenderedPageBreak/>
        <w:t>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Противодействие коррупции</w:t>
      </w: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Организация</w:t>
      </w: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Контрагент</w:t>
      </w: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14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Взятка</w:t>
      </w: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14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Коммерческий подкуп</w:t>
      </w: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DC141C" w:rsidRPr="00DC141C" w:rsidRDefault="00DC141C" w:rsidP="00DC141C">
      <w:pPr>
        <w:autoSpaceDE w:val="0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14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Конфликт интересов</w:t>
      </w: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</w:t>
      </w:r>
      <w:r w:rsidRPr="00DC141C">
        <w:rPr>
          <w:rFonts w:ascii="Times New Roman" w:eastAsia="Calibri" w:hAnsi="Times New Roman" w:cs="Times New Roman"/>
          <w:sz w:val="24"/>
          <w:szCs w:val="24"/>
        </w:rPr>
        <w:lastRenderedPageBreak/>
        <w:t>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Личная заинтересованность работника (представителя организации)</w:t>
      </w: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DC141C" w:rsidRPr="00DC141C" w:rsidRDefault="00DC141C" w:rsidP="00DC141C">
      <w:pPr>
        <w:tabs>
          <w:tab w:val="num" w:pos="0"/>
          <w:tab w:val="left" w:pos="567"/>
        </w:tabs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DC141C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3.Основные принципы антикоррупционной  деятельности организации</w:t>
      </w:r>
    </w:p>
    <w:p w:rsidR="00DC141C" w:rsidRPr="00DC141C" w:rsidRDefault="00DC141C" w:rsidP="00DC141C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    Системы мер противодействия коррупции в лицее основываться на следующих ключевых принципах:</w:t>
      </w:r>
    </w:p>
    <w:p w:rsidR="00DC141C" w:rsidRPr="00DC141C" w:rsidRDefault="00DC141C" w:rsidP="00DC141C">
      <w:pPr>
        <w:tabs>
          <w:tab w:val="left" w:pos="0"/>
          <w:tab w:val="left" w:pos="10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i/>
          <w:iCs/>
          <w:sz w:val="24"/>
          <w:szCs w:val="24"/>
          <w:lang w:eastAsia="ru-RU"/>
        </w:rPr>
        <w:t xml:space="preserve">1.        </w:t>
      </w:r>
      <w:r w:rsidRPr="00DC14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Принцип соответствия политики организации действующему законодательству и общепринятым нормам.</w:t>
      </w:r>
    </w:p>
    <w:p w:rsidR="00DC141C" w:rsidRPr="00DC141C" w:rsidRDefault="00DC141C" w:rsidP="00DC141C">
      <w:pPr>
        <w:tabs>
          <w:tab w:val="left" w:pos="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DC141C" w:rsidRPr="00DC141C" w:rsidRDefault="00DC141C" w:rsidP="00DC141C">
      <w:pPr>
        <w:tabs>
          <w:tab w:val="left" w:pos="0"/>
          <w:tab w:val="left" w:pos="10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i/>
          <w:iCs/>
          <w:sz w:val="24"/>
          <w:szCs w:val="24"/>
          <w:lang w:eastAsia="ru-RU"/>
        </w:rPr>
        <w:t xml:space="preserve">2.        </w:t>
      </w:r>
      <w:r w:rsidRPr="00DC14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Принцип личного примера руководства</w:t>
      </w:r>
      <w:r w:rsidRPr="00DC1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C141C" w:rsidRPr="00DC141C" w:rsidRDefault="00DC141C" w:rsidP="00DC141C">
      <w:pPr>
        <w:tabs>
          <w:tab w:val="left" w:pos="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DC141C" w:rsidRPr="00DC141C" w:rsidRDefault="00DC141C" w:rsidP="00DC141C">
      <w:pPr>
        <w:tabs>
          <w:tab w:val="left" w:pos="0"/>
          <w:tab w:val="left" w:pos="10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i/>
          <w:iCs/>
          <w:sz w:val="24"/>
          <w:szCs w:val="24"/>
          <w:lang w:eastAsia="ru-RU"/>
        </w:rPr>
        <w:t>3</w:t>
      </w:r>
      <w:r w:rsidRPr="00DC141C">
        <w:rPr>
          <w:rFonts w:ascii="Times New Roman" w:eastAsia="Symbol" w:hAnsi="Times New Roman" w:cs="Times New Roman"/>
          <w:b/>
          <w:i/>
          <w:iCs/>
          <w:sz w:val="24"/>
          <w:szCs w:val="24"/>
          <w:lang w:eastAsia="ru-RU"/>
        </w:rPr>
        <w:t xml:space="preserve">.        </w:t>
      </w:r>
      <w:r w:rsidRPr="00DC14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Принцип вовлеченности работников.</w:t>
      </w:r>
    </w:p>
    <w:p w:rsidR="00DC141C" w:rsidRPr="00DC141C" w:rsidRDefault="00DC141C" w:rsidP="00DC141C">
      <w:pPr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DC141C" w:rsidRPr="00DC141C" w:rsidRDefault="00DC141C" w:rsidP="00DC141C">
      <w:pPr>
        <w:tabs>
          <w:tab w:val="left" w:pos="0"/>
          <w:tab w:val="left" w:pos="10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i/>
          <w:iCs/>
          <w:sz w:val="24"/>
          <w:szCs w:val="24"/>
          <w:lang w:eastAsia="ru-RU"/>
        </w:rPr>
        <w:t xml:space="preserve">4.        </w:t>
      </w:r>
      <w:r w:rsidRPr="00DC14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Принцип соразмерности антикоррупционных процедур риску коррупции.</w:t>
      </w:r>
    </w:p>
    <w:p w:rsidR="00DC141C" w:rsidRPr="00DC141C" w:rsidRDefault="00DC141C" w:rsidP="00DC141C">
      <w:pPr>
        <w:tabs>
          <w:tab w:val="left" w:pos="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DC141C" w:rsidRPr="00DC141C" w:rsidRDefault="00DC141C" w:rsidP="00DC141C">
      <w:pPr>
        <w:tabs>
          <w:tab w:val="left" w:pos="0"/>
          <w:tab w:val="left" w:pos="10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i/>
          <w:iCs/>
          <w:sz w:val="24"/>
          <w:szCs w:val="24"/>
          <w:lang w:eastAsia="ru-RU"/>
        </w:rPr>
        <w:t>5</w:t>
      </w:r>
      <w:r w:rsidRPr="00DC141C">
        <w:rPr>
          <w:rFonts w:ascii="Times New Roman" w:eastAsia="Symbol" w:hAnsi="Times New Roman" w:cs="Times New Roman"/>
          <w:b/>
          <w:i/>
          <w:iCs/>
          <w:sz w:val="24"/>
          <w:szCs w:val="24"/>
          <w:lang w:eastAsia="ru-RU"/>
        </w:rPr>
        <w:t xml:space="preserve">.        </w:t>
      </w:r>
      <w:r w:rsidRPr="00DC14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Принцип эффективности  антикоррупционных процедур.</w:t>
      </w:r>
    </w:p>
    <w:p w:rsidR="00DC141C" w:rsidRPr="00DC141C" w:rsidRDefault="00DC141C" w:rsidP="00DC141C">
      <w:pPr>
        <w:tabs>
          <w:tab w:val="left" w:pos="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приносят значимый результат</w:t>
      </w:r>
      <w:proofErr w:type="gramEnd"/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141C" w:rsidRPr="00DC141C" w:rsidRDefault="00DC141C" w:rsidP="00DC141C">
      <w:pPr>
        <w:tabs>
          <w:tab w:val="left" w:pos="0"/>
          <w:tab w:val="left" w:pos="10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i/>
          <w:iCs/>
          <w:sz w:val="24"/>
          <w:szCs w:val="24"/>
          <w:lang w:eastAsia="ru-RU"/>
        </w:rPr>
        <w:t xml:space="preserve">6.        </w:t>
      </w:r>
      <w:r w:rsidRPr="00DC14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Принцип ответственности и неотвратимости наказания.</w:t>
      </w:r>
    </w:p>
    <w:p w:rsidR="00DC141C" w:rsidRPr="00DC141C" w:rsidRDefault="00DC141C" w:rsidP="00DC141C">
      <w:pPr>
        <w:tabs>
          <w:tab w:val="left" w:pos="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DC141C" w:rsidRPr="00DC141C" w:rsidRDefault="00DC141C" w:rsidP="00DC141C">
      <w:pPr>
        <w:tabs>
          <w:tab w:val="left" w:pos="0"/>
          <w:tab w:val="left" w:pos="10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i/>
          <w:iCs/>
          <w:sz w:val="24"/>
          <w:szCs w:val="24"/>
          <w:lang w:eastAsia="ru-RU"/>
        </w:rPr>
        <w:t>7</w:t>
      </w:r>
      <w:r w:rsidRPr="00DC141C">
        <w:rPr>
          <w:rFonts w:ascii="Times New Roman" w:eastAsia="Symbol" w:hAnsi="Times New Roman" w:cs="Times New Roman"/>
          <w:b/>
          <w:i/>
          <w:iCs/>
          <w:sz w:val="24"/>
          <w:szCs w:val="24"/>
          <w:lang w:eastAsia="ru-RU"/>
        </w:rPr>
        <w:t xml:space="preserve">.        </w:t>
      </w:r>
      <w:r w:rsidRPr="00DC14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Принцип открытости  </w:t>
      </w:r>
    </w:p>
    <w:p w:rsidR="00DC141C" w:rsidRPr="00DC141C" w:rsidRDefault="00DC141C" w:rsidP="00DC141C">
      <w:pPr>
        <w:tabs>
          <w:tab w:val="left" w:pos="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DC141C" w:rsidRPr="00DC141C" w:rsidRDefault="00DC141C" w:rsidP="00DC141C">
      <w:pPr>
        <w:tabs>
          <w:tab w:val="left" w:pos="0"/>
          <w:tab w:val="left" w:pos="10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i/>
          <w:iCs/>
          <w:sz w:val="24"/>
          <w:szCs w:val="24"/>
          <w:lang w:eastAsia="ru-RU"/>
        </w:rPr>
        <w:t>8</w:t>
      </w:r>
      <w:r w:rsidRPr="00DC141C">
        <w:rPr>
          <w:rFonts w:ascii="Times New Roman" w:eastAsia="Symbol" w:hAnsi="Times New Roman" w:cs="Times New Roman"/>
          <w:b/>
          <w:i/>
          <w:iCs/>
          <w:sz w:val="24"/>
          <w:szCs w:val="24"/>
          <w:lang w:eastAsia="ru-RU"/>
        </w:rPr>
        <w:t xml:space="preserve">.        </w:t>
      </w:r>
      <w:r w:rsidRPr="00DC14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Принцип постоянного контроля и регулярного мониторинга.</w:t>
      </w:r>
    </w:p>
    <w:p w:rsidR="00DC141C" w:rsidRPr="00DC141C" w:rsidRDefault="00DC141C" w:rsidP="00DC141C">
      <w:pPr>
        <w:tabs>
          <w:tab w:val="left" w:pos="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исполнением.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 4. Область применения политики и круг лиц, попадающих под ее действие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DC141C">
        <w:rPr>
          <w:rFonts w:ascii="Times New Roman" w:eastAsia="Calibri" w:hAnsi="Times New Roman" w:cs="Times New Roman"/>
          <w:b/>
          <w:bCs/>
          <w:sz w:val="24"/>
          <w:szCs w:val="24"/>
        </w:rPr>
        <w:t>нужно включить в текст договоров.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C141C">
        <w:rPr>
          <w:rFonts w:ascii="Times New Roman" w:eastAsia="Calibri" w:hAnsi="Times New Roman" w:cs="Times New Roman"/>
          <w:b/>
          <w:i/>
          <w:sz w:val="24"/>
          <w:szCs w:val="24"/>
        </w:rPr>
        <w:t>5.  Определение должностных лиц школы, ответственных за реализацию антикоррупционной  политики</w:t>
      </w:r>
    </w:p>
    <w:p w:rsidR="00DC141C" w:rsidRPr="00DC141C" w:rsidRDefault="00DC141C" w:rsidP="00DC141C">
      <w:pPr>
        <w:autoSpaceDE w:val="0"/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DC141C" w:rsidRPr="00DC141C" w:rsidRDefault="00DC141C" w:rsidP="00DC141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DC141C" w:rsidRPr="00DC141C" w:rsidRDefault="00DC141C" w:rsidP="00DC141C">
      <w:pPr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 обязанности  включают в частности: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проведения оценки коррупционных рисков;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заполнения и рассмотрения </w:t>
      </w:r>
      <w:r w:rsidRPr="00DC1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деклараций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конфликте интересов;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lastRenderedPageBreak/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 </w:t>
      </w:r>
      <w:r w:rsidRPr="00DC141C">
        <w:rPr>
          <w:rFonts w:ascii="Times New Roman" w:eastAsia="Calibri" w:hAnsi="Times New Roman" w:cs="Times New Roman"/>
          <w:sz w:val="24"/>
          <w:szCs w:val="24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МКДОУ;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МКДОУ;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незамедлительно информировать заведующая МКДОУ, руководство организации о случаях склонения работника к совершению коррупционных правонарушений;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«Антикоррупционная политика». 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DC141C" w:rsidRPr="00DC141C" w:rsidRDefault="00DC141C" w:rsidP="00DC141C">
      <w:pPr>
        <w:tabs>
          <w:tab w:val="num" w:pos="0"/>
          <w:tab w:val="left" w:pos="284"/>
        </w:tabs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Pr="00DC141C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7. Установление перечня реализуемых образовательным учреждением  антикоррупционных  мероприятий, стандартов и процедур и  порядок их выполнения (применения)</w:t>
      </w:r>
    </w:p>
    <w:p w:rsidR="00DC141C" w:rsidRPr="00DC141C" w:rsidRDefault="00DC141C" w:rsidP="00DC141C">
      <w:pPr>
        <w:tabs>
          <w:tab w:val="num" w:pos="0"/>
          <w:tab w:val="left" w:pos="284"/>
        </w:tabs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 </w:t>
      </w:r>
    </w:p>
    <w:tbl>
      <w:tblPr>
        <w:tblW w:w="1162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8505"/>
      </w:tblGrid>
      <w:tr w:rsidR="00DC141C" w:rsidRPr="00DC141C" w:rsidTr="00DC141C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DC141C" w:rsidRPr="00DC141C" w:rsidTr="00DC141C">
        <w:trPr>
          <w:trHeight w:val="35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принятие антикоррупционной политики организации</w:t>
            </w:r>
            <w:bookmarkStart w:id="0" w:name="_ftnref1"/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DC141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[1]</w:t>
            </w:r>
            <w:bookmarkEnd w:id="0"/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C141C" w:rsidRPr="00DC141C" w:rsidTr="00DC141C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плана реализации антикоррупционных мероприятий</w:t>
            </w:r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DC141C" w:rsidRPr="00DC141C" w:rsidTr="00DC141C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антикоррупционных положений в трудовые договоры работников</w:t>
            </w:r>
          </w:p>
        </w:tc>
      </w:tr>
      <w:tr w:rsidR="00DC141C" w:rsidRPr="00DC141C" w:rsidTr="00DC141C">
        <w:trPr>
          <w:trHeight w:val="45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DC141C" w:rsidRPr="00DC141C" w:rsidTr="00DC141C">
        <w:trPr>
          <w:trHeight w:val="45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DC141C" w:rsidRPr="00DC141C" w:rsidTr="00DC141C">
        <w:trPr>
          <w:trHeight w:val="45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DC141C" w:rsidRPr="00DC141C" w:rsidTr="00DC141C">
        <w:trPr>
          <w:trHeight w:val="45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DC141C" w:rsidRPr="00DC141C" w:rsidTr="00DC141C">
        <w:trPr>
          <w:trHeight w:val="45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1" w:name="_ftnref2"/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DC141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[2]</w:t>
            </w:r>
            <w:bookmarkEnd w:id="1"/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C141C" w:rsidRPr="00DC141C" w:rsidTr="00DC141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Pr="00DC141C" w:rsidRDefault="00DC141C" w:rsidP="00DC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1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</w:tbl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В качестве   приложения к антикоррупционной политике в МКДОУ ежегодно утверждается план реализации антикоррупционных мероприятий. </w:t>
      </w:r>
    </w:p>
    <w:p w:rsidR="00DC141C" w:rsidRPr="00DC141C" w:rsidRDefault="00DC141C" w:rsidP="00DC141C">
      <w:pPr>
        <w:keepNext/>
        <w:keepLines/>
        <w:tabs>
          <w:tab w:val="num" w:pos="0"/>
        </w:tabs>
        <w:spacing w:before="200" w:after="0"/>
        <w:outlineLvl w:val="1"/>
        <w:rPr>
          <w:rFonts w:ascii="Times New Roman" w:eastAsia="Times New Roman" w:hAnsi="Times New Roman" w:cs="Times New Roman"/>
          <w:b/>
          <w:bCs/>
          <w:i/>
          <w:color w:val="4F81BD"/>
          <w:sz w:val="24"/>
          <w:szCs w:val="24"/>
        </w:rPr>
      </w:pPr>
      <w:r w:rsidRPr="00DC141C">
        <w:rPr>
          <w:rFonts w:ascii="Times New Roman" w:eastAsia="Times New Roman" w:hAnsi="Times New Roman" w:cs="Times New Roman"/>
          <w:b/>
          <w:bCs/>
          <w:i/>
          <w:color w:val="4F81BD"/>
          <w:sz w:val="24"/>
          <w:szCs w:val="24"/>
        </w:rPr>
        <w:t> </w:t>
      </w:r>
      <w:r w:rsidRPr="00DC141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7.     Оценка коррупционных рисков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DC141C">
        <w:rPr>
          <w:rFonts w:ascii="Times New Roman" w:eastAsia="Calibri" w:hAnsi="Times New Roman" w:cs="Times New Roman"/>
          <w:sz w:val="24"/>
          <w:szCs w:val="24"/>
        </w:rPr>
        <w:t>правонарушений</w:t>
      </w:r>
      <w:proofErr w:type="gramEnd"/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 </w:t>
      </w:r>
    </w:p>
    <w:p w:rsidR="00DC141C" w:rsidRPr="00DC141C" w:rsidRDefault="00DC141C" w:rsidP="00DC141C">
      <w:pPr>
        <w:autoSpaceDE w:val="0"/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Оценка коррупционных рисков 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141C">
        <w:rPr>
          <w:rFonts w:ascii="Times New Roman" w:eastAsia="Calibri" w:hAnsi="Times New Roman" w:cs="Times New Roman"/>
          <w:b/>
          <w:sz w:val="24"/>
          <w:szCs w:val="24"/>
        </w:rPr>
        <w:t>    Порядок проведения оценки коррупционных рисков: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представить деятельность </w:t>
      </w:r>
      <w:r w:rsidRPr="00DC141C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организации</w:t>
      </w: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 в виде отдельных  процессов, в каждом из которых выделить составные элементы (подпроцессы);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выделить «критические точки» - для каждого  процесса и определить те элементы (подпроцессы), при реализации которых наиболее вероятно возникновение коррупционных правонарушений.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DC141C" w:rsidRPr="00DC141C" w:rsidRDefault="00DC141C" w:rsidP="00DC141C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DC141C" w:rsidRPr="00DC141C" w:rsidRDefault="00DC141C" w:rsidP="00DC141C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DC141C" w:rsidRPr="00DC141C" w:rsidRDefault="00DC141C" w:rsidP="00DC141C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- вероятные формы осуществления коррупционных платежей.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 Разработать комплекс мер по устранению или минимизации коррупционных рисков.  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141C">
        <w:rPr>
          <w:rFonts w:ascii="Times New Roman" w:eastAsia="Calibri" w:hAnsi="Times New Roman" w:cs="Times New Roman"/>
          <w:b/>
          <w:sz w:val="24"/>
          <w:szCs w:val="24"/>
        </w:rPr>
        <w:t> 8. Ответственность  сотрудников за несоблюдение требований антикоррупционной политики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При этом следует учитывать, что конфликт интересов может принимать множество различных форм. 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цели и задачи положения о конфликте интересов;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круг лиц, попадающих под действие положения;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Calibri" w:eastAsia="Calibri" w:hAnsi="Calibri" w:cs="Times New Roman"/>
          <w:i/>
          <w:iCs/>
          <w:sz w:val="24"/>
          <w:szCs w:val="24"/>
        </w:rPr>
        <w:t> </w:t>
      </w:r>
      <w:r w:rsidRPr="00DC141C">
        <w:rPr>
          <w:rFonts w:ascii="Times New Roman" w:eastAsia="Calibri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141C">
        <w:rPr>
          <w:rFonts w:ascii="Calibri" w:eastAsia="Calibri" w:hAnsi="Calibri" w:cs="Times New Roman"/>
          <w:b/>
          <w:i/>
          <w:iCs/>
          <w:sz w:val="24"/>
          <w:szCs w:val="24"/>
        </w:rPr>
        <w:t>Обязанности работников в связи с раскрытием и урегулированием конфликта интересов: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Calibri" w:eastAsia="Calibri" w:hAnsi="Calibri" w:cs="Times New Roman"/>
          <w:i/>
          <w:iCs/>
          <w:sz w:val="24"/>
          <w:szCs w:val="24"/>
        </w:rPr>
        <w:lastRenderedPageBreak/>
        <w:t> </w:t>
      </w:r>
      <w:r w:rsidRPr="00DC141C">
        <w:rPr>
          <w:rFonts w:ascii="Times New Roman" w:eastAsia="Calibri" w:hAnsi="Times New Roman" w:cs="Times New Roman"/>
          <w:sz w:val="24"/>
          <w:szCs w:val="24"/>
        </w:rPr>
        <w:t> В организации возможно установление различных видов раскрытия конфликта интересов, в том числе:</w:t>
      </w:r>
    </w:p>
    <w:p w:rsidR="00DC141C" w:rsidRPr="00DC141C" w:rsidRDefault="00DC141C" w:rsidP="00DC141C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DC141C" w:rsidRPr="00DC141C" w:rsidRDefault="00DC141C" w:rsidP="00DC141C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DC141C" w:rsidRPr="00DC141C" w:rsidRDefault="00DC141C" w:rsidP="00DC141C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 МКДОУ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DC141C" w:rsidRPr="00DC141C" w:rsidRDefault="00DC141C" w:rsidP="00DC141C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DC141C" w:rsidRPr="00DC141C" w:rsidRDefault="00DC141C" w:rsidP="00DC141C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C141C" w:rsidRPr="00DC141C" w:rsidRDefault="00DC141C" w:rsidP="00DC141C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DC141C" w:rsidRPr="00DC141C" w:rsidRDefault="00DC141C" w:rsidP="00DC141C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DC141C" w:rsidRPr="00DC141C" w:rsidRDefault="00DC141C" w:rsidP="00DC141C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DC141C" w:rsidRPr="00DC141C" w:rsidRDefault="00DC141C" w:rsidP="00DC141C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DC141C" w:rsidRPr="00DC141C" w:rsidRDefault="00DC141C" w:rsidP="00DC141C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DC141C" w:rsidRPr="00DC141C" w:rsidRDefault="00DC141C" w:rsidP="00DC141C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DC141C" w:rsidRPr="00DC141C" w:rsidRDefault="00DC141C" w:rsidP="00DC141C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DC141C" w:rsidRPr="00DC141C" w:rsidRDefault="00DC141C" w:rsidP="00DC141C">
      <w:pPr>
        <w:widowControl w:val="0"/>
        <w:tabs>
          <w:tab w:val="left" w:pos="72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Calibri" w:eastAsia="Calibri" w:hAnsi="Calibri" w:cs="Times New Roman"/>
          <w:i/>
          <w:iCs/>
          <w:sz w:val="24"/>
          <w:szCs w:val="24"/>
        </w:rPr>
        <w:t> </w:t>
      </w: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директор. Рассмотрение полученной информации целесообразно проводить коллегиально </w:t>
      </w:r>
    </w:p>
    <w:p w:rsidR="00DC141C" w:rsidRPr="00DC141C" w:rsidRDefault="00DC141C" w:rsidP="00DC141C">
      <w:pPr>
        <w:keepNext/>
        <w:keepLines/>
        <w:tabs>
          <w:tab w:val="num" w:pos="0"/>
        </w:tabs>
        <w:spacing w:before="200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14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В МКДОУ проводится </w:t>
      </w:r>
      <w:proofErr w:type="gramStart"/>
      <w:r w:rsidRPr="00DC141C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обучение работников по вопросам</w:t>
      </w:r>
      <w:proofErr w:type="gramEnd"/>
      <w:r w:rsidRPr="00DC14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профилактики и противодействия коррупции. </w:t>
      </w:r>
    </w:p>
    <w:p w:rsidR="00DC141C" w:rsidRPr="00DC141C" w:rsidRDefault="00DC141C" w:rsidP="00DC141C">
      <w:pPr>
        <w:keepNext/>
        <w:keepLines/>
        <w:tabs>
          <w:tab w:val="num" w:pos="0"/>
        </w:tabs>
        <w:spacing w:before="200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141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обучения определяют тематику и форму занятий. Обучение  проводится по следующей тематике: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 в государственном и частном секторах экономики (теоретическая);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юридическая ответственность за совершение коррупционных правонарушений; 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разрешение конфликта интересов при выполнении трудовых обязанностей (</w:t>
      </w:r>
      <w:proofErr w:type="gramStart"/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 </w:t>
      </w: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C141C" w:rsidRPr="00DC141C" w:rsidRDefault="00DC141C" w:rsidP="00DC141C">
      <w:pPr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Возможны следующие виды обучения:</w:t>
      </w:r>
    </w:p>
    <w:p w:rsidR="00DC141C" w:rsidRPr="00DC141C" w:rsidRDefault="00DC141C" w:rsidP="00DC141C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proofErr w:type="gramStart"/>
      <w:r w:rsidRPr="00DC141C">
        <w:rPr>
          <w:rFonts w:ascii="Times New Roman" w:eastAsia="Calibri" w:hAnsi="Times New Roman" w:cs="Times New Roman"/>
          <w:sz w:val="24"/>
          <w:szCs w:val="24"/>
        </w:rPr>
        <w:t>обучение по вопросам</w:t>
      </w:r>
      <w:proofErr w:type="gramEnd"/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DC141C" w:rsidRPr="00DC141C" w:rsidRDefault="00DC141C" w:rsidP="00DC141C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DC141C" w:rsidRPr="00DC141C" w:rsidRDefault="00DC141C" w:rsidP="00DC141C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DC141C" w:rsidRPr="00DC141C" w:rsidRDefault="00DC141C" w:rsidP="00DC141C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DC141C" w:rsidRPr="00DC141C" w:rsidRDefault="00DC141C" w:rsidP="00DC141C">
      <w:pPr>
        <w:spacing w:before="100" w:beforeAutospacing="1" w:after="100" w:afterAutospacing="1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DC141C" w:rsidRPr="00DC141C" w:rsidRDefault="00DC141C" w:rsidP="00DC141C">
      <w:pPr>
        <w:keepNext/>
        <w:keepLines/>
        <w:tabs>
          <w:tab w:val="num" w:pos="0"/>
        </w:tabs>
        <w:spacing w:before="200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14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Федеральным законом от 6 декабря 2011 г. № 402-ФЗ «О бухгалтерском учете» установлена обязанность для всех организаций </w:t>
      </w:r>
      <w:proofErr w:type="gramStart"/>
      <w:r w:rsidRPr="00DC141C">
        <w:rPr>
          <w:rFonts w:ascii="Times New Roman" w:eastAsia="Times New Roman" w:hAnsi="Times New Roman" w:cs="Times New Roman"/>
          <w:b/>
          <w:bCs/>
          <w:sz w:val="24"/>
          <w:szCs w:val="24"/>
        </w:rPr>
        <w:t>осуществлять</w:t>
      </w:r>
      <w:proofErr w:type="gramEnd"/>
      <w:r w:rsidRPr="00DC14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DC141C" w:rsidRPr="00DC141C" w:rsidRDefault="00DC141C" w:rsidP="00DC141C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DC141C">
        <w:rPr>
          <w:rFonts w:ascii="Times New Roman" w:eastAsia="Calibri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DC141C" w:rsidRPr="00DC141C" w:rsidRDefault="00DC141C" w:rsidP="00DC141C">
      <w:pPr>
        <w:spacing w:before="100" w:beforeAutospacing="1" w:after="100" w:afterAutospacing="1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 Контроль документирования операций хозяйственной </w:t>
      </w:r>
      <w:proofErr w:type="gramStart"/>
      <w:r w:rsidRPr="00DC141C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proofErr w:type="gramEnd"/>
      <w:r w:rsidRPr="00DC141C">
        <w:rPr>
          <w:rFonts w:ascii="Times New Roman" w:eastAsia="Calibri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</w:t>
      </w:r>
      <w:r w:rsidRPr="00DC141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документах и отчетности, уничтожения документов и отчетности ранее установленного срока и т.д.  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 9. Порядок пересмотра и внесения изменений в антикоррупционную политику организации</w:t>
      </w:r>
    </w:p>
    <w:p w:rsidR="00DC141C" w:rsidRPr="00DC141C" w:rsidRDefault="00DC141C" w:rsidP="00DC141C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41C">
        <w:rPr>
          <w:rFonts w:ascii="Times New Roman" w:eastAsia="Calibri" w:hAnsi="Times New Roman" w:cs="Times New Roman"/>
          <w:sz w:val="24"/>
          <w:szCs w:val="24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</w:p>
    <w:p w:rsidR="00DC141C" w:rsidRPr="00DC141C" w:rsidRDefault="00DC141C" w:rsidP="00DC141C">
      <w:pPr>
        <w:rPr>
          <w:rFonts w:ascii="Times New Roman" w:eastAsia="Calibri" w:hAnsi="Times New Roman" w:cs="Times New Roman"/>
          <w:sz w:val="24"/>
          <w:szCs w:val="24"/>
        </w:rPr>
      </w:pPr>
    </w:p>
    <w:p w:rsidR="00DC141C" w:rsidRPr="00DC141C" w:rsidRDefault="00DC141C" w:rsidP="00DC141C">
      <w:pPr>
        <w:rPr>
          <w:rFonts w:ascii="Times New Roman" w:eastAsia="Calibri" w:hAnsi="Times New Roman" w:cs="Times New Roman"/>
          <w:sz w:val="24"/>
          <w:szCs w:val="24"/>
        </w:rPr>
      </w:pPr>
    </w:p>
    <w:p w:rsidR="00DC141C" w:rsidRPr="00DC141C" w:rsidRDefault="00DC141C" w:rsidP="00DC141C">
      <w:pPr>
        <w:rPr>
          <w:rFonts w:ascii="Times New Roman" w:eastAsia="Calibri" w:hAnsi="Times New Roman" w:cs="Times New Roman"/>
          <w:sz w:val="24"/>
          <w:szCs w:val="24"/>
        </w:rPr>
      </w:pPr>
    </w:p>
    <w:p w:rsidR="00632349" w:rsidRDefault="00632349">
      <w:bookmarkStart w:id="2" w:name="_GoBack"/>
      <w:bookmarkEnd w:id="2"/>
    </w:p>
    <w:sectPr w:rsidR="0063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1C"/>
    <w:rsid w:val="00632349"/>
    <w:rsid w:val="00DC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4362</Words>
  <Characters>24868</Characters>
  <Application>Microsoft Office Word</Application>
  <DocSecurity>0</DocSecurity>
  <Lines>207</Lines>
  <Paragraphs>58</Paragraphs>
  <ScaleCrop>false</ScaleCrop>
  <Company/>
  <LinksUpToDate>false</LinksUpToDate>
  <CharactersWithSpaces>29172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2018-02-12T07:28:00Z</dcterms:created>
  <dcterms:modified xsi:type="dcterms:W3CDTF">2018-02-12T07:29:00Z</dcterms:modified>
</cp:coreProperties>
</file>